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120" w:line="480"/>
        <w:ind w:left="120"/>
        <w:jc w:val="right"/>
      </w:pPr>
      <w:r>
        <w:rPr>
          <w:rFonts w:ascii="Times New Roman" w:hAnsi="Times New Roman"/>
          <w:b/>
          <w:i w:val="false"/>
          <w:color w:val="000000"/>
          <w:sz w:val="28"/>
        </w:rPr>
        <w:t>RA 26-344</w:t>
      </w:r>
    </w:p>
    <w:p>
      <w:pPr>
        <w:spacing w:before="0" w:after="0" w:line="480"/>
        <w:ind w:left="120"/>
        <w:jc w:val="left"/>
      </w:pPr>
    </w:p>
    <w:p>
      <w:pPr>
        <w:spacing w:before="0" w:after="0" w:line="480"/>
        <w:ind w:left="120"/>
        <w:jc w:val="center"/>
      </w:pPr>
      <w:r>
        <w:rPr>
          <w:rFonts w:ascii="Times New Roman" w:hAnsi="Times New Roman"/>
          <w:b/>
          <w:i w:val="false"/>
          <w:color w:val="000000"/>
          <w:sz w:val="28"/>
        </w:rPr>
        <w:t>EDUCATION DEPARTMENT[281]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281—Chapter 19</w:t>
      </w:r>
    </w:p>
    <w:p>
      <w:pPr>
        <w:spacing w:before="0" w:after="0" w:line="480"/>
        <w:ind w:left="120"/>
        <w:jc w:val="center"/>
      </w:pPr>
      <w:r>
        <w:rPr>
          <w:rFonts w:ascii="Times New Roman" w:hAnsi="Times New Roman"/>
          <w:b w:val="false"/>
          <w:i w:val="false"/>
          <w:color w:val="000000"/>
          <w:sz w:val="24"/>
        </w:rPr>
        <w:t>“Charter Schools”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256E.4(2)</w:t>
      </w:r>
    </w:p>
    <w:p>
      <w:pPr>
        <w:spacing w:before="0" w:after="0" w:line="480"/>
        <w:ind w:left="120"/>
        <w:jc w:val="both"/>
      </w:pPr>
      <w:r>
        <w:rPr>
          <w:rFonts w:ascii="Times New Roman" w:hAnsi="Times New Roman"/>
          <w:b w:val="false"/>
          <w:i w:val="false"/>
          <w:color w:val="000000"/>
          <w:sz w:val="24"/>
        </w:rPr>
        <w:t>State or federal law(s) implemented by the rulemaking: 2026 Iowa Acts, House File 2754</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810"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November 17, 2026</w:t>
            </w:r>
            <w:r>
              <w:br/>
            </w:r>
            <w:r>
              <w:rPr>
                <w:rFonts w:ascii="Times New Roman" w:hAnsi="Times New Roman"/>
                <w:b w:val="false"/>
                <w:i w:val="false"/>
                <w:color w:val="000000"/>
                <w:sz w:val="14"/>
              </w:rPr>
              <w:t>8 to 9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Room B50</w:t>
            </w:r>
            <w:r>
              <w:br/>
            </w:r>
            <w:r>
              <w:rPr>
                <w:rFonts w:ascii="Times New Roman" w:hAnsi="Times New Roman"/>
                <w:b w:val="false"/>
                <w:i w:val="false"/>
                <w:color w:val="000000"/>
                <w:sz w:val="14"/>
              </w:rPr>
              <w:t>Grimes State Office Building</w:t>
            </w:r>
            <w:r>
              <w:br/>
            </w:r>
            <w:r>
              <w:rPr>
                <w:rFonts w:ascii="Times New Roman" w:hAnsi="Times New Roman"/>
                <w:b w:val="false"/>
                <w:i w:val="false"/>
                <w:color w:val="000000"/>
                <w:sz w:val="14"/>
              </w:rPr>
              <w:t xml:space="preserve">Online at </w:t>
            </w:r>
            <w:hyperlink r:id="rId4">
              <w:r>
                <w:rPr>
                  <w:rStyle w:val="Hyperlink"/>
                  <w:rFonts w:ascii="Times New Roman" w:hAnsi="Times New Roman"/>
                  <w:b w:val="false"/>
                  <w:i w:val="false"/>
                  <w:color w:val="0000ff"/>
                  <w:sz w:val="14"/>
                </w:rPr>
                <w:t>meet.google.com/uzu-nfiq-jca</w:t>
              </w:r>
            </w:hyperlink>
            <w:r>
              <w:br/>
            </w:r>
            <w:r>
              <w:rPr>
                <w:rFonts w:ascii="Times New Roman" w:hAnsi="Times New Roman"/>
                <w:b w:val="false"/>
                <w:i w:val="false"/>
                <w:color w:val="000000"/>
                <w:sz w:val="14"/>
              </w:rPr>
              <w:t>Phone: 1.929.276.1400</w:t>
            </w:r>
            <w:r>
              <w:br/>
            </w:r>
            <w:r>
              <w:rPr>
                <w:rFonts w:ascii="Times New Roman" w:hAnsi="Times New Roman"/>
                <w:b w:val="false"/>
                <w:i w:val="false"/>
                <w:color w:val="000000"/>
                <w:sz w:val="14"/>
              </w:rPr>
              <w:t>PIN: ‪992 943 978#</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Education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96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Thomas A. Mayes</w:t>
            </w:r>
            <w:r>
              <w:br/>
            </w:r>
            <w:r>
              <w:rPr>
                <w:rFonts w:ascii="Times New Roman" w:hAnsi="Times New Roman"/>
                <w:b w:val="false"/>
                <w:i w:val="false"/>
                <w:color w:val="000000"/>
                <w:sz w:val="14"/>
              </w:rPr>
              <w:t>Grimes State Office Building</w:t>
            </w:r>
            <w:r>
              <w:br/>
            </w:r>
            <w:r>
              <w:rPr>
                <w:rFonts w:ascii="Times New Roman" w:hAnsi="Times New Roman"/>
                <w:b w:val="false"/>
                <w:i w:val="false"/>
                <w:color w:val="000000"/>
                <w:sz w:val="14"/>
              </w:rPr>
              <w:t xml:space="preserve">400 East 14th Street </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Phone: 515.281.8661</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thomas.a.mayes@iowa.gov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implements several provisions of 2026 Iowa Acts, House File 2754. This proposed rulemaking addresses the addition of the University of Northern Iowa as a charter school authorizer and elimination of a legacy Iowa Code chapter.</w:t>
      </w:r>
    </w:p>
    <w:p>
      <w:pPr>
        <w:spacing w:before="0" w:after="0" w:line="480"/>
        <w:ind w:left="120"/>
        <w:jc w:val="both"/>
      </w:pPr>
      <w:r>
        <w:rPr>
          <w:rFonts w:ascii="Times New Roman" w:hAnsi="Times New Roman"/>
          <w:b w:val="false"/>
          <w:i w:val="false"/>
          <w:color w:val="000000"/>
          <w:sz w:val="24"/>
        </w:rPr>
        <w:t>    References to Iowa Code chapters 256E and 256F are to those chapters as amended by House File 2754.</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Charter school leaders will benefit from the additional authorization pathway, and the charter school community will benefit from the simplicity of the proposed rules.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Charter school leaders will benefit from the additional authorization pathway, and the charter school community will benefit from the simplicity of the proposed rules.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 quantitative impact is unknown.</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There is no known qualitative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costs to the State are unknown. There is no additional cost anticipated to the Department. The Fiscal Note for Division I of House File 2754 found that the underlying legislation has an unknown fiscal impact.</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 proposed rulemaking is not anticipated to have a direct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Iowa Code chapter 256E requires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Iowa Code chapter 256E requires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 other methods were seriously considered by the Department since the method proposed is the most cost-efficient and seamless for all entities involved.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Iowa Code chapter 256E requires rulemaking.</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proposed rulemaking is not expected to have an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281—19.1(256E)</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281—19.1</w:t>
      </w:r>
      <w:r>
        <w:rPr>
          <w:rFonts w:ascii="Times New Roman" w:hAnsi="Times New Roman"/>
          <w:b/>
          <w:i w:val="false"/>
          <w:color w:val="000000"/>
          <w:sz w:val="24"/>
        </w:rPr>
        <w:t xml:space="preserve">(256E) </w:t>
      </w:r>
      <w:r>
        <w:rPr>
          <w:rFonts w:ascii="Times New Roman" w:hAnsi="Times New Roman"/>
          <w:b/>
          <w:i w:val="false"/>
          <w:color w:val="000000"/>
          <w:sz w:val="24"/>
        </w:rPr>
        <w:t xml:space="preserve">General. </w:t>
      </w:r>
      <w:r>
        <w:rPr>
          <w:rFonts w:ascii="Times New Roman" w:hAnsi="Times New Roman"/>
          <w:b w:val="false"/>
          <w:i w:val="false"/>
          <w:color w:val="000000"/>
          <w:sz w:val="24"/>
        </w:rPr>
        <w:t>All charter schools in Iowa are a part of the state’s program of public education. Charter schools established on or after July 1, 2021, are subject to Iowa Code chapter</w:t>
      </w:r>
      <w:hyperlink r:id="rId6">
        <w:r>
          <w:rPr>
            <w:rStyle w:val="Hyperlink"/>
            <w:rFonts w:ascii="Times New Roman" w:hAnsi="Times New Roman"/>
            <w:b w:val="false"/>
            <w:i w:val="false"/>
            <w:color w:val="000000"/>
            <w:sz w:val="24"/>
          </w:rPr>
          <w:t> 256E</w:t>
        </w:r>
      </w:hyperlink>
      <w:r>
        <w:rPr>
          <w:rFonts w:ascii="Times New Roman" w:hAnsi="Times New Roman"/>
          <w:b w:val="false"/>
          <w:i w:val="false"/>
          <w:color w:val="000000"/>
          <w:sz w:val="24"/>
          <w:u w:val="single"/>
        </w:rPr>
        <w:t>, subchapter I,</w:t>
      </w:r>
      <w:r>
        <w:rPr>
          <w:rFonts w:ascii="Times New Roman" w:hAnsi="Times New Roman"/>
          <w:b w:val="false"/>
          <w:i w:val="false"/>
          <w:color w:val="000000"/>
          <w:sz w:val="24"/>
        </w:rPr>
        <w:t xml:space="preserve"> and Division I of this chapter. Charter schools established prior to July 1, 2021, continue to operate under and are subject to the provisions of Iowa Code chapter </w:t>
      </w:r>
      <w:hyperlink r:id="rId7">
        <w:r>
          <w:rPr>
            <w:rStyle w:val="Hyperlink"/>
            <w:rFonts w:ascii="Times New Roman" w:hAnsi="Times New Roman"/>
            <w:b w:val="false"/>
            <w:i w:val="false"/>
            <w:strike/>
            <w:color w:val="000000"/>
            <w:sz w:val="24"/>
          </w:rPr>
          <w:t>256F</w:t>
        </w:r>
      </w:hyperlink>
      <w:r>
        <w:rPr>
          <w:rFonts w:ascii="Times New Roman" w:hAnsi="Times New Roman"/>
          <w:b w:val="false"/>
          <w:i w:val="false"/>
          <w:color w:val="000000"/>
          <w:sz w:val="24"/>
          <w:u w:val="single"/>
        </w:rPr>
        <w:t> </w:t>
      </w:r>
      <w:hyperlink r:id="rId8">
        <w:r>
          <w:rPr>
            <w:rStyle w:val="Hyperlink"/>
            <w:rFonts w:ascii="Times New Roman" w:hAnsi="Times New Roman"/>
            <w:b w:val="false"/>
            <w:i w:val="false"/>
            <w:color w:val="000000"/>
            <w:sz w:val="24"/>
            <w:u w:val="single"/>
          </w:rPr>
          <w:t>256E</w:t>
        </w:r>
      </w:hyperlink>
      <w:r>
        <w:rPr>
          <w:rFonts w:ascii="Times New Roman" w:hAnsi="Times New Roman"/>
          <w:b w:val="false"/>
          <w:i w:val="false"/>
          <w:color w:val="000000"/>
          <w:sz w:val="24"/>
          <w:u w:val="single"/>
        </w:rPr>
        <w:t>, subchapter II,</w:t>
      </w:r>
      <w:r>
        <w:rPr>
          <w:rFonts w:ascii="Times New Roman" w:hAnsi="Times New Roman"/>
          <w:b w:val="false"/>
          <w:i w:val="false"/>
          <w:color w:val="000000"/>
          <w:sz w:val="24"/>
        </w:rPr>
        <w:t xml:space="preserve"> and Division II of this chapter. The department monitors the effectiveness of charter schools and implements the applicable provisions of this chapter.</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281—19.2(256E)</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281—19.2</w:t>
      </w:r>
      <w:r>
        <w:rPr>
          <w:rFonts w:ascii="Times New Roman" w:hAnsi="Times New Roman"/>
          <w:b/>
          <w:i w:val="false"/>
          <w:color w:val="000000"/>
          <w:sz w:val="24"/>
        </w:rPr>
        <w:t xml:space="preserve">(256E) </w:t>
      </w:r>
      <w:r>
        <w:rPr>
          <w:rFonts w:ascii="Times New Roman" w:hAnsi="Times New Roman"/>
          <w:b/>
          <w:i w:val="false"/>
          <w:color w:val="000000"/>
          <w:sz w:val="24"/>
        </w:rPr>
        <w:t xml:space="preserve">Establishment of charter schools. </w:t>
      </w:r>
      <w:r>
        <w:rPr>
          <w:rFonts w:ascii="Times New Roman" w:hAnsi="Times New Roman"/>
          <w:b w:val="false"/>
          <w:i w:val="false"/>
          <w:color w:val="000000"/>
          <w:sz w:val="24"/>
        </w:rPr>
        <w:t xml:space="preserve">A charter school may be established by either of the following methods: a school board-state board model, pursuant to Iowa Code section </w:t>
      </w:r>
      <w:hyperlink r:id="rId9">
        <w:r>
          <w:rPr>
            <w:rStyle w:val="Hyperlink"/>
            <w:rFonts w:ascii="Times New Roman" w:hAnsi="Times New Roman"/>
            <w:b w:val="false"/>
            <w:i w:val="false"/>
            <w:color w:val="000000"/>
            <w:sz w:val="24"/>
          </w:rPr>
          <w:t>256E.4</w:t>
        </w:r>
      </w:hyperlink>
      <w:r>
        <w:rPr>
          <w:rFonts w:ascii="Times New Roman" w:hAnsi="Times New Roman"/>
          <w:b w:val="false"/>
          <w:i w:val="false"/>
          <w:color w:val="000000"/>
          <w:sz w:val="24"/>
        </w:rPr>
        <w:t>, or a founding group-state board model, pursuant to Iowa Code section</w:t>
      </w:r>
      <w:hyperlink r:id="rId10">
        <w:r>
          <w:rPr>
            <w:rStyle w:val="Hyperlink"/>
            <w:rFonts w:ascii="Times New Roman" w:hAnsi="Times New Roman"/>
            <w:b w:val="false"/>
            <w:i w:val="false"/>
            <w:color w:val="000000"/>
            <w:sz w:val="24"/>
          </w:rPr>
          <w:t> 256E.5</w:t>
        </w:r>
      </w:hyperlink>
      <w:r>
        <w:rPr>
          <w:rFonts w:ascii="Times New Roman" w:hAnsi="Times New Roman"/>
          <w:b w:val="false"/>
          <w:i w:val="false"/>
          <w:color w:val="000000"/>
          <w:sz w:val="24"/>
        </w:rPr>
        <w: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The state board of education and the University of Northern Iowa are the only authorizers of charter schools in the state.</w:t>
      </w:r>
      <w:r>
        <w:rPr>
          <w:rFonts w:ascii="Times New Roman" w:hAnsi="Times New Roman"/>
          <w:b w:val="false"/>
          <w:i w:val="false"/>
          <w:color w:val="000000"/>
          <w:sz w:val="24"/>
        </w:rPr>
        <w:t xml:space="preserve"> The state board of education is the only authorizer of charter schools under this division.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Charter schools authorized by the University of Northern Iowa are governed by such rules the university may establish.</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19.14(1)“e”</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Student achievement, including annual academic growth and proficiency, including</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data from the</w:t>
      </w:r>
      <w:r>
        <w:rPr>
          <w:rFonts w:ascii="Times New Roman" w:hAnsi="Times New Roman"/>
          <w:b w:val="false"/>
          <w:i w:val="false"/>
          <w:color w:val="000000"/>
          <w:sz w:val="24"/>
        </w:rPr>
        <w:t xml:space="preserve"> Iowa </w:t>
      </w:r>
      <w:r>
        <w:rPr>
          <w:rFonts w:ascii="Times New Roman" w:hAnsi="Times New Roman"/>
          <w:b w:val="false"/>
          <w:i w:val="false"/>
          <w:strike/>
          <w:color w:val="000000"/>
          <w:sz w:val="24"/>
        </w:rPr>
        <w:t>statewide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summative</w:t>
      </w:r>
      <w:r>
        <w:rPr>
          <w:rFonts w:ascii="Times New Roman" w:hAnsi="Times New Roman"/>
          <w:b w:val="false"/>
          <w:i w:val="false"/>
          <w:color w:val="000000"/>
          <w:sz w:val="24"/>
        </w:rPr>
        <w:t xml:space="preserve"> assessment </w:t>
      </w:r>
      <w:r>
        <w:rPr>
          <w:rFonts w:ascii="Times New Roman" w:hAnsi="Times New Roman"/>
          <w:b w:val="false"/>
          <w:i w:val="false"/>
          <w:strike/>
          <w:color w:val="000000"/>
          <w:sz w:val="24"/>
        </w:rPr>
        <w:t>of student progress (ISASP) data,</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administered pursuant to </w:t>
      </w:r>
      <w:hyperlink r:id="rId11">
        <w:r>
          <w:rPr>
            <w:rStyle w:val="Hyperlink"/>
            <w:rFonts w:ascii="Times New Roman" w:hAnsi="Times New Roman"/>
            <w:b w:val="false"/>
            <w:i w:val="false"/>
            <w:color w:val="000000"/>
            <w:sz w:val="24"/>
            <w:u w:val="single"/>
          </w:rPr>
          <w:t>281—paragraph 12.8(1)</w:t>
        </w:r>
      </w:hyperlink>
      <w:r>
        <w:rPr>
          <w:rFonts w:ascii="Times New Roman" w:hAnsi="Times New Roman"/>
          <w:b w:val="false"/>
          <w:i/>
          <w:color w:val="000000"/>
          <w:sz w:val="24"/>
          <w:u w:val="single"/>
        </w:rPr>
        <w:t>“h,”</w:t>
      </w:r>
      <w:r>
        <w:rPr>
          <w:rFonts w:ascii="Times New Roman" w:hAnsi="Times New Roman"/>
          <w:b w:val="false"/>
          <w:i w:val="false"/>
          <w:color w:val="000000"/>
          <w:sz w:val="24"/>
        </w:rPr>
        <w:t xml:space="preserve"> other assessment data, and aggregate assessment test scores.</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281—19.15(256E)</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281—19.15</w:t>
      </w:r>
      <w:r>
        <w:rPr>
          <w:rFonts w:ascii="Times New Roman" w:hAnsi="Times New Roman"/>
          <w:b/>
          <w:i w:val="false"/>
          <w:color w:val="000000"/>
          <w:sz w:val="24"/>
        </w:rPr>
        <w:t xml:space="preserve">(256E) </w:t>
      </w:r>
      <w:r>
        <w:rPr>
          <w:rFonts w:ascii="Times New Roman" w:hAnsi="Times New Roman"/>
          <w:b/>
          <w:i w:val="false"/>
          <w:color w:val="000000"/>
          <w:sz w:val="24"/>
        </w:rPr>
        <w:t xml:space="preserve">Operation of existing charter schools. </w:t>
      </w:r>
      <w:r>
        <w:rPr>
          <w:rFonts w:ascii="Times New Roman" w:hAnsi="Times New Roman"/>
          <w:b w:val="false"/>
          <w:i w:val="false"/>
          <w:color w:val="000000"/>
          <w:sz w:val="24"/>
        </w:rPr>
        <w:t xml:space="preserve">Charter schools established pursuant to Iowa Code chapter </w:t>
      </w:r>
      <w:hyperlink r:id="rId12">
        <w:r>
          <w:rPr>
            <w:rStyle w:val="Hyperlink"/>
            <w:rFonts w:ascii="Times New Roman" w:hAnsi="Times New Roman"/>
            <w:b w:val="false"/>
            <w:i w:val="false"/>
            <w:strike/>
            <w:color w:val="000000"/>
            <w:sz w:val="24"/>
          </w:rPr>
          <w:t>256F</w:t>
        </w:r>
      </w:hyperlink>
      <w:r>
        <w:rPr>
          <w:rFonts w:ascii="Times New Roman" w:hAnsi="Times New Roman"/>
          <w:b w:val="false"/>
          <w:i w:val="false"/>
          <w:color w:val="000000"/>
          <w:sz w:val="24"/>
          <w:u w:val="single"/>
        </w:rPr>
        <w:t> </w:t>
      </w:r>
      <w:hyperlink r:id="rId13">
        <w:r>
          <w:rPr>
            <w:rStyle w:val="Hyperlink"/>
            <w:rFonts w:ascii="Times New Roman" w:hAnsi="Times New Roman"/>
            <w:b w:val="false"/>
            <w:i w:val="false"/>
            <w:color w:val="000000"/>
            <w:sz w:val="24"/>
            <w:u w:val="single"/>
          </w:rPr>
          <w:t>256E</w:t>
        </w:r>
      </w:hyperlink>
      <w:r>
        <w:rPr>
          <w:rFonts w:ascii="Times New Roman" w:hAnsi="Times New Roman"/>
          <w:b w:val="false"/>
          <w:i w:val="false"/>
          <w:color w:val="000000"/>
          <w:sz w:val="24"/>
          <w:u w:val="single"/>
        </w:rPr>
        <w:t>, subchapter II,</w:t>
      </w:r>
      <w:r>
        <w:rPr>
          <w:rFonts w:ascii="Times New Roman" w:hAnsi="Times New Roman"/>
          <w:b w:val="false"/>
          <w:i w:val="false"/>
          <w:color w:val="000000"/>
          <w:sz w:val="24"/>
        </w:rPr>
        <w:t xml:space="preserve"> continue to operate pursuant to that </w:t>
      </w:r>
      <w:r>
        <w:rPr>
          <w:rFonts w:ascii="Times New Roman" w:hAnsi="Times New Roman"/>
          <w:b w:val="false"/>
          <w:i w:val="false"/>
          <w:strike/>
          <w:color w:val="000000"/>
          <w:sz w:val="24"/>
        </w:rPr>
        <w:t>Iowa Code chapter</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subchapter</w:t>
      </w:r>
      <w:r>
        <w:rPr>
          <w:rFonts w:ascii="Times New Roman" w:hAnsi="Times New Roman"/>
          <w:b w:val="false"/>
          <w:i w:val="false"/>
          <w:color w:val="000000"/>
          <w:sz w:val="24"/>
        </w:rPr>
        <w:t xml:space="preserve"> and are not subject to the requirements of this division or Iowa Code chapter </w:t>
      </w:r>
      <w:hyperlink r:id="rId14">
        <w:r>
          <w:rPr>
            <w:rStyle w:val="Hyperlink"/>
            <w:rFonts w:ascii="Times New Roman" w:hAnsi="Times New Roman"/>
            <w:b w:val="false"/>
            <w:i w:val="false"/>
            <w:color w:val="000000"/>
            <w:sz w:val="24"/>
          </w:rPr>
          <w:t>256E</w:t>
        </w:r>
      </w:hyperlink>
      <w:r>
        <w:rPr>
          <w:rFonts w:ascii="Times New Roman" w:hAnsi="Times New Roman"/>
          <w:b w:val="false"/>
          <w:i w:val="false"/>
          <w:color w:val="000000"/>
          <w:sz w:val="24"/>
          <w:u w:val="single"/>
        </w:rPr>
        <w:t>, subchapter I</w:t>
      </w:r>
      <w:r>
        <w:rPr>
          <w:rFonts w:ascii="Times New Roman" w:hAnsi="Times New Roman"/>
          <w:b w:val="false"/>
          <w:i w:val="false"/>
          <w:color w:val="000000"/>
          <w:sz w:val="24"/>
        </w:rPr>
        <w:t>.</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the implementation sentence </w:t>
      </w:r>
      <w:r>
        <w:rPr>
          <w:rFonts w:ascii="Times New Roman" w:hAnsi="Times New Roman"/>
          <w:b w:val="false"/>
          <w:i w:val="false"/>
          <w:color w:val="000000"/>
          <w:sz w:val="24"/>
        </w:rPr>
        <w:t xml:space="preserve">in </w:t>
      </w:r>
      <w:r>
        <w:rPr>
          <w:rFonts w:ascii="Times New Roman" w:hAnsi="Times New Roman"/>
          <w:b/>
          <w:i w:val="false"/>
          <w:color w:val="000000"/>
          <w:sz w:val="24"/>
        </w:rPr>
        <w:t>281—Chapter 19</w:t>
      </w:r>
      <w:r>
        <w:rPr>
          <w:rFonts w:ascii="Times New Roman" w:hAnsi="Times New Roman"/>
          <w:b w:val="false"/>
          <w:i w:val="false"/>
          <w:color w:val="000000"/>
          <w:sz w:val="24"/>
        </w:rPr>
        <w:t>, division I.</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6.</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281—19.16(256F)</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281—19.16</w:t>
      </w:r>
      <w:r>
        <w:rPr>
          <w:rFonts w:ascii="Times New Roman" w:hAnsi="Times New Roman"/>
          <w:b/>
          <w:i w:val="false"/>
          <w:color w:val="000000"/>
          <w:sz w:val="24"/>
        </w:rPr>
        <w:t>(</w:t>
      </w:r>
      <w:r>
        <w:rPr>
          <w:rFonts w:ascii="Times New Roman" w:hAnsi="Times New Roman"/>
          <w:b/>
          <w:i w:val="false"/>
          <w:strike/>
          <w:color w:val="000000"/>
          <w:sz w:val="24"/>
        </w:rPr>
        <w:t>256F</w:t>
      </w:r>
      <w:r>
        <w:rPr>
          <w:rFonts w:ascii="Times New Roman" w:hAnsi="Times New Roman"/>
          <w:b/>
          <w:i w:val="false"/>
          <w:color w:val="000000"/>
          <w:sz w:val="24"/>
          <w:u w:val="single"/>
        </w:rPr>
        <w:t> </w:t>
      </w:r>
      <w:r>
        <w:rPr>
          <w:rFonts w:ascii="Times New Roman" w:hAnsi="Times New Roman"/>
          <w:b/>
          <w:i w:val="false"/>
          <w:color w:val="000000"/>
          <w:sz w:val="24"/>
          <w:u w:val="single"/>
        </w:rPr>
        <w:t>256E</w:t>
      </w:r>
      <w:r>
        <w:rPr>
          <w:rFonts w:ascii="Times New Roman" w:hAnsi="Times New Roman"/>
          <w:b/>
          <w:i w:val="false"/>
          <w:color w:val="000000"/>
          <w:sz w:val="24"/>
        </w:rPr>
        <w:t xml:space="preserve">)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The definitions in Iowa Code section </w:t>
      </w:r>
      <w:hyperlink r:id="rId15">
        <w:r>
          <w:rPr>
            <w:rStyle w:val="Hyperlink"/>
            <w:rFonts w:ascii="Times New Roman" w:hAnsi="Times New Roman"/>
            <w:b w:val="false"/>
            <w:i w:val="false"/>
            <w:strike/>
            <w:color w:val="000000"/>
            <w:sz w:val="24"/>
          </w:rPr>
          <w:t>256F.2</w:t>
        </w:r>
      </w:hyperlink>
      <w:r>
        <w:rPr>
          <w:rFonts w:ascii="Times New Roman" w:hAnsi="Times New Roman"/>
          <w:b w:val="false"/>
          <w:i w:val="false"/>
          <w:color w:val="000000"/>
          <w:sz w:val="24"/>
          <w:u w:val="single"/>
        </w:rPr>
        <w:t> </w:t>
      </w:r>
      <w:hyperlink r:id="rId16">
        <w:r>
          <w:rPr>
            <w:rStyle w:val="Hyperlink"/>
            <w:rFonts w:ascii="Times New Roman" w:hAnsi="Times New Roman"/>
            <w:b w:val="false"/>
            <w:i w:val="false"/>
            <w:color w:val="000000"/>
            <w:sz w:val="24"/>
            <w:u w:val="single"/>
          </w:rPr>
          <w:t>256E.21</w:t>
        </w:r>
      </w:hyperlink>
      <w:r>
        <w:rPr>
          <w:rFonts w:ascii="Times New Roman" w:hAnsi="Times New Roman"/>
          <w:b w:val="false"/>
          <w:i w:val="false"/>
          <w:color w:val="000000"/>
          <w:sz w:val="24"/>
        </w:rPr>
        <w:t xml:space="preserve"> apply to this division. In addition, “advisory council” means a council appointed by the school board of a charter school. With respect to a charter school, no more than one member of the council may be a member of the school board; a district’s school improvement advisory committee may also serve as its advisory council. All advisory councils are subject to the provisions of Iowa Code chapters </w:t>
      </w:r>
      <w:hyperlink r:id="rId17">
        <w:r>
          <w:rPr>
            <w:rStyle w:val="Hyperlink"/>
            <w:rFonts w:ascii="Times New Roman" w:hAnsi="Times New Roman"/>
            <w:b w:val="false"/>
            <w:i w:val="false"/>
            <w:color w:val="000000"/>
            <w:sz w:val="24"/>
          </w:rPr>
          <w:t>21</w:t>
        </w:r>
      </w:hyperlink>
      <w:r>
        <w:rPr>
          <w:rFonts w:ascii="Times New Roman" w:hAnsi="Times New Roman"/>
          <w:b w:val="false"/>
          <w:i w:val="false"/>
          <w:color w:val="000000"/>
          <w:sz w:val="24"/>
        </w:rPr>
        <w:t xml:space="preserve"> and </w:t>
      </w:r>
      <w:hyperlink r:id="rId18">
        <w:r>
          <w:rPr>
            <w:rStyle w:val="Hyperlink"/>
            <w:rFonts w:ascii="Times New Roman" w:hAnsi="Times New Roman"/>
            <w:b w:val="false"/>
            <w:i w:val="false"/>
            <w:color w:val="000000"/>
            <w:sz w:val="24"/>
          </w:rPr>
          <w:t>22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“Family unit”</w:t>
      </w:r>
      <w:r>
        <w:rPr>
          <w:rFonts w:ascii="Times New Roman" w:hAnsi="Times New Roman"/>
          <w:b w:val="false"/>
          <w:i/>
          <w:color w:val="000000"/>
          <w:sz w:val="24"/>
          <w:u w:val="single"/>
        </w:rPr>
        <w:t> </w:t>
      </w:r>
      <w:r>
        <w:rPr>
          <w:rFonts w:ascii="Times New Roman" w:hAnsi="Times New Roman"/>
          <w:b w:val="false"/>
          <w:i w:val="false"/>
          <w:color w:val="000000"/>
          <w:sz w:val="24"/>
        </w:rPr>
        <w:t>means a household in which resides one or more students enrolled at the existing public school that is the subject of a charter school application.</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7.</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281—19.17(256F)</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281—19.17</w:t>
      </w:r>
      <w:r>
        <w:rPr>
          <w:rFonts w:ascii="Times New Roman" w:hAnsi="Times New Roman"/>
          <w:b/>
          <w:i w:val="false"/>
          <w:color w:val="000000"/>
          <w:sz w:val="24"/>
        </w:rPr>
        <w:t>(</w:t>
      </w:r>
      <w:r>
        <w:rPr>
          <w:rFonts w:ascii="Times New Roman" w:hAnsi="Times New Roman"/>
          <w:b/>
          <w:i w:val="false"/>
          <w:strike/>
          <w:color w:val="000000"/>
          <w:sz w:val="24"/>
        </w:rPr>
        <w:t>256F</w:t>
      </w:r>
      <w:r>
        <w:rPr>
          <w:rFonts w:ascii="Times New Roman" w:hAnsi="Times New Roman"/>
          <w:b/>
          <w:i w:val="false"/>
          <w:color w:val="000000"/>
          <w:sz w:val="24"/>
          <w:u w:val="single"/>
        </w:rPr>
        <w:t> </w:t>
      </w:r>
      <w:r>
        <w:rPr>
          <w:rFonts w:ascii="Times New Roman" w:hAnsi="Times New Roman"/>
          <w:b/>
          <w:i w:val="false"/>
          <w:color w:val="000000"/>
          <w:sz w:val="24"/>
          <w:u w:val="single"/>
        </w:rPr>
        <w:t>256E</w:t>
      </w:r>
      <w:r>
        <w:rPr>
          <w:rFonts w:ascii="Times New Roman" w:hAnsi="Times New Roman"/>
          <w:b/>
          <w:i w:val="false"/>
          <w:color w:val="000000"/>
          <w:sz w:val="24"/>
        </w:rPr>
        <w:t xml:space="preserve">) </w:t>
      </w:r>
      <w:r>
        <w:rPr>
          <w:rFonts w:ascii="Times New Roman" w:hAnsi="Times New Roman"/>
          <w:b/>
          <w:i w:val="false"/>
          <w:color w:val="000000"/>
          <w:sz w:val="24"/>
        </w:rPr>
        <w:t xml:space="preserve">Operating requirements. </w:t>
      </w:r>
      <w:r>
        <w:rPr>
          <w:rFonts w:ascii="Times New Roman" w:hAnsi="Times New Roman"/>
          <w:b w:val="false"/>
          <w:i w:val="false"/>
          <w:color w:val="000000"/>
          <w:sz w:val="24"/>
        </w:rPr>
        <w:t xml:space="preserve">Charter schools are governed by Iowa Code sections </w:t>
      </w:r>
      <w:hyperlink r:id="rId19">
        <w:r>
          <w:rPr>
            <w:rStyle w:val="Hyperlink"/>
            <w:rFonts w:ascii="Times New Roman" w:hAnsi="Times New Roman"/>
            <w:b w:val="false"/>
            <w:i w:val="false"/>
            <w:strike/>
            <w:color w:val="000000"/>
            <w:sz w:val="24"/>
          </w:rPr>
          <w:t>256F.4(2)</w:t>
        </w:r>
      </w:hyperlink>
      <w:r>
        <w:rPr>
          <w:rFonts w:ascii="Times New Roman" w:hAnsi="Times New Roman"/>
          <w:b w:val="false"/>
          <w:i w:val="false"/>
          <w:strike/>
          <w:color w:val="000000"/>
          <w:sz w:val="24"/>
        </w:rPr>
        <w:t xml:space="preserve"> through (8), </w:t>
      </w:r>
      <w:hyperlink r:id="rId20">
        <w:r>
          <w:rPr>
            <w:rStyle w:val="Hyperlink"/>
            <w:rFonts w:ascii="Times New Roman" w:hAnsi="Times New Roman"/>
            <w:b w:val="false"/>
            <w:i w:val="false"/>
            <w:strike/>
            <w:color w:val="000000"/>
            <w:sz w:val="24"/>
          </w:rPr>
          <w:t>256F.6</w:t>
        </w:r>
      </w:hyperlink>
      <w:r>
        <w:rPr>
          <w:rFonts w:ascii="Times New Roman" w:hAnsi="Times New Roman"/>
          <w:b w:val="false"/>
          <w:i w:val="false"/>
          <w:strike/>
          <w:color w:val="000000"/>
          <w:sz w:val="24"/>
        </w:rPr>
        <w:t xml:space="preserve">, and </w:t>
      </w:r>
      <w:hyperlink r:id="rId21">
        <w:r>
          <w:rPr>
            <w:rStyle w:val="Hyperlink"/>
            <w:rFonts w:ascii="Times New Roman" w:hAnsi="Times New Roman"/>
            <w:b w:val="false"/>
            <w:i w:val="false"/>
            <w:strike/>
            <w:color w:val="000000"/>
            <w:sz w:val="24"/>
          </w:rPr>
          <w:t>256F.7</w:t>
        </w:r>
      </w:hyperlink>
      <w:r>
        <w:rPr>
          <w:rFonts w:ascii="Times New Roman" w:hAnsi="Times New Roman"/>
          <w:b w:val="false"/>
          <w:i w:val="false"/>
          <w:color w:val="000000"/>
          <w:sz w:val="24"/>
          <w:u w:val="single"/>
        </w:rPr>
        <w:t> </w:t>
      </w:r>
      <w:hyperlink r:id="rId22">
        <w:r>
          <w:rPr>
            <w:rStyle w:val="Hyperlink"/>
            <w:rFonts w:ascii="Times New Roman" w:hAnsi="Times New Roman"/>
            <w:b w:val="false"/>
            <w:i w:val="false"/>
            <w:color w:val="000000"/>
            <w:sz w:val="24"/>
            <w:u w:val="single"/>
          </w:rPr>
          <w:t>256E.23(2)</w:t>
        </w:r>
      </w:hyperlink>
      <w:r>
        <w:rPr>
          <w:rFonts w:ascii="Times New Roman" w:hAnsi="Times New Roman"/>
          <w:b w:val="false"/>
          <w:i w:val="false"/>
          <w:color w:val="000000"/>
          <w:sz w:val="24"/>
          <w:u w:val="single"/>
        </w:rPr>
        <w:t xml:space="preserve"> through </w:t>
      </w:r>
      <w:hyperlink r:id="rId23">
        <w:r>
          <w:rPr>
            <w:rStyle w:val="Hyperlink"/>
            <w:rFonts w:ascii="Times New Roman" w:hAnsi="Times New Roman"/>
            <w:b w:val="false"/>
            <w:i w:val="false"/>
            <w:color w:val="000000"/>
            <w:sz w:val="24"/>
            <w:u w:val="single"/>
          </w:rPr>
          <w:t>256E.23(8)</w:t>
        </w:r>
      </w:hyperlink>
      <w:r>
        <w:rPr>
          <w:rFonts w:ascii="Times New Roman" w:hAnsi="Times New Roman"/>
          <w:b w:val="false"/>
          <w:i w:val="false"/>
          <w:color w:val="000000"/>
          <w:sz w:val="24"/>
          <w:u w:val="single"/>
        </w:rPr>
        <w:t xml:space="preserve">, </w:t>
      </w:r>
      <w:hyperlink r:id="rId24">
        <w:r>
          <w:rPr>
            <w:rStyle w:val="Hyperlink"/>
            <w:rFonts w:ascii="Times New Roman" w:hAnsi="Times New Roman"/>
            <w:b w:val="false"/>
            <w:i w:val="false"/>
            <w:color w:val="000000"/>
            <w:sz w:val="24"/>
            <w:u w:val="single"/>
          </w:rPr>
          <w:t>256E.25</w:t>
        </w:r>
      </w:hyperlink>
      <w:r>
        <w:rPr>
          <w:rFonts w:ascii="Times New Roman" w:hAnsi="Times New Roman"/>
          <w:b w:val="false"/>
          <w:i w:val="false"/>
          <w:color w:val="000000"/>
          <w:sz w:val="24"/>
          <w:u w:val="single"/>
        </w:rPr>
        <w:t xml:space="preserve">, and </w:t>
      </w:r>
      <w:hyperlink r:id="rId25">
        <w:r>
          <w:rPr>
            <w:rStyle w:val="Hyperlink"/>
            <w:rFonts w:ascii="Times New Roman" w:hAnsi="Times New Roman"/>
            <w:b w:val="false"/>
            <w:i w:val="false"/>
            <w:color w:val="000000"/>
            <w:sz w:val="24"/>
            <w:u w:val="single"/>
          </w:rPr>
          <w:t>256E.26</w:t>
        </w:r>
      </w:hyperlink>
      <w:r>
        <w:rPr>
          <w:rFonts w:ascii="Times New Roman" w:hAnsi="Times New Roman"/>
          <w:b w:val="false"/>
          <w:i w:val="false"/>
          <w:color w:val="000000"/>
          <w:sz w:val="24"/>
        </w:rPr>
        <w:t>.</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8.</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281—19.18(256F)</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281—19.18</w:t>
      </w:r>
      <w:r>
        <w:rPr>
          <w:rFonts w:ascii="Times New Roman" w:hAnsi="Times New Roman"/>
          <w:b/>
          <w:i w:val="false"/>
          <w:color w:val="000000"/>
          <w:sz w:val="24"/>
        </w:rPr>
        <w:t>(</w:t>
      </w:r>
      <w:r>
        <w:rPr>
          <w:rFonts w:ascii="Times New Roman" w:hAnsi="Times New Roman"/>
          <w:b/>
          <w:i w:val="false"/>
          <w:strike/>
          <w:color w:val="000000"/>
          <w:sz w:val="24"/>
        </w:rPr>
        <w:t>256F</w:t>
      </w:r>
      <w:r>
        <w:rPr>
          <w:rFonts w:ascii="Times New Roman" w:hAnsi="Times New Roman"/>
          <w:b/>
          <w:i w:val="false"/>
          <w:color w:val="000000"/>
          <w:sz w:val="24"/>
          <w:u w:val="single"/>
        </w:rPr>
        <w:t> </w:t>
      </w:r>
      <w:r>
        <w:rPr>
          <w:rFonts w:ascii="Times New Roman" w:hAnsi="Times New Roman"/>
          <w:b/>
          <w:i w:val="false"/>
          <w:color w:val="000000"/>
          <w:sz w:val="24"/>
          <w:u w:val="single"/>
        </w:rPr>
        <w:t>256E</w:t>
      </w:r>
      <w:r>
        <w:rPr>
          <w:rFonts w:ascii="Times New Roman" w:hAnsi="Times New Roman"/>
          <w:b/>
          <w:i w:val="false"/>
          <w:color w:val="000000"/>
          <w:sz w:val="24"/>
        </w:rPr>
        <w:t xml:space="preserve">) </w:t>
      </w:r>
      <w:r>
        <w:rPr>
          <w:rFonts w:ascii="Times New Roman" w:hAnsi="Times New Roman"/>
          <w:b/>
          <w:i w:val="false"/>
          <w:color w:val="000000"/>
          <w:sz w:val="24"/>
        </w:rPr>
        <w:t xml:space="preserve">Ongoing review by the department. </w:t>
      </w:r>
      <w:r>
        <w:rPr>
          <w:rFonts w:ascii="Times New Roman" w:hAnsi="Times New Roman"/>
          <w:b w:val="false"/>
          <w:i w:val="false"/>
          <w:color w:val="000000"/>
          <w:sz w:val="24"/>
        </w:rPr>
        <w:t xml:space="preserve">The department periodically reviews each charter school to ensure continuing compliance with the charter school’s contract. The department may schedule mandatory meetings with the administrators of all charter schools at the department’s sole discretion. Iowa Code section </w:t>
      </w:r>
      <w:hyperlink r:id="rId26">
        <w:r>
          <w:rPr>
            <w:rStyle w:val="Hyperlink"/>
            <w:rFonts w:ascii="Times New Roman" w:hAnsi="Times New Roman"/>
            <w:b w:val="false"/>
            <w:i w:val="false"/>
            <w:strike/>
            <w:color w:val="000000"/>
            <w:sz w:val="24"/>
          </w:rPr>
          <w:t>256F.10</w:t>
        </w:r>
      </w:hyperlink>
      <w:r>
        <w:rPr>
          <w:rFonts w:ascii="Times New Roman" w:hAnsi="Times New Roman"/>
          <w:b w:val="false"/>
          <w:i w:val="false"/>
          <w:color w:val="000000"/>
          <w:sz w:val="24"/>
          <w:u w:val="single"/>
        </w:rPr>
        <w:t> </w:t>
      </w:r>
      <w:hyperlink r:id="rId27">
        <w:r>
          <w:rPr>
            <w:rStyle w:val="Hyperlink"/>
            <w:rFonts w:ascii="Times New Roman" w:hAnsi="Times New Roman"/>
            <w:b w:val="false"/>
            <w:i w:val="false"/>
            <w:color w:val="000000"/>
            <w:sz w:val="24"/>
            <w:u w:val="single"/>
          </w:rPr>
          <w:t>256E.29</w:t>
        </w:r>
      </w:hyperlink>
      <w:r>
        <w:rPr>
          <w:rFonts w:ascii="Times New Roman" w:hAnsi="Times New Roman"/>
          <w:b w:val="false"/>
          <w:i w:val="false"/>
          <w:color w:val="000000"/>
          <w:sz w:val="24"/>
        </w:rPr>
        <w:t xml:space="preserve"> governs necessary reports under this division.</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9.</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281—19.19(256F)</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281—19.19</w:t>
      </w:r>
      <w:r>
        <w:rPr>
          <w:rFonts w:ascii="Times New Roman" w:hAnsi="Times New Roman"/>
          <w:b/>
          <w:i w:val="false"/>
          <w:color w:val="000000"/>
          <w:sz w:val="24"/>
        </w:rPr>
        <w:t>(</w:t>
      </w:r>
      <w:r>
        <w:rPr>
          <w:rFonts w:ascii="Times New Roman" w:hAnsi="Times New Roman"/>
          <w:b/>
          <w:i w:val="false"/>
          <w:strike/>
          <w:color w:val="000000"/>
          <w:sz w:val="24"/>
        </w:rPr>
        <w:t>256F</w:t>
      </w:r>
      <w:r>
        <w:rPr>
          <w:rFonts w:ascii="Times New Roman" w:hAnsi="Times New Roman"/>
          <w:b/>
          <w:i w:val="false"/>
          <w:color w:val="000000"/>
          <w:sz w:val="24"/>
          <w:u w:val="single"/>
        </w:rPr>
        <w:t> </w:t>
      </w:r>
      <w:r>
        <w:rPr>
          <w:rFonts w:ascii="Times New Roman" w:hAnsi="Times New Roman"/>
          <w:b/>
          <w:i w:val="false"/>
          <w:color w:val="000000"/>
          <w:sz w:val="24"/>
          <w:u w:val="single"/>
        </w:rPr>
        <w:t>256E</w:t>
      </w:r>
      <w:r>
        <w:rPr>
          <w:rFonts w:ascii="Times New Roman" w:hAnsi="Times New Roman"/>
          <w:b/>
          <w:i w:val="false"/>
          <w:color w:val="000000"/>
          <w:sz w:val="24"/>
        </w:rPr>
        <w:t xml:space="preserve">) </w:t>
      </w:r>
      <w:r>
        <w:rPr>
          <w:rFonts w:ascii="Times New Roman" w:hAnsi="Times New Roman"/>
          <w:b/>
          <w:i w:val="false"/>
          <w:color w:val="000000"/>
          <w:sz w:val="24"/>
        </w:rPr>
        <w:t xml:space="preserve">Renewal of charter. </w:t>
      </w:r>
      <w:r>
        <w:rPr>
          <w:rFonts w:ascii="Times New Roman" w:hAnsi="Times New Roman"/>
          <w:b w:val="false"/>
          <w:i w:val="false"/>
          <w:color w:val="000000"/>
          <w:sz w:val="24"/>
        </w:rPr>
        <w:t xml:space="preserve">The school board that established the charter school, in the absence of revoking the charter pursuant to rule </w:t>
      </w:r>
      <w:hyperlink r:id="rId28">
        <w:r>
          <w:rPr>
            <w:rStyle w:val="Hyperlink"/>
            <w:rFonts w:ascii="Times New Roman" w:hAnsi="Times New Roman"/>
            <w:b w:val="false"/>
            <w:i w:val="false"/>
            <w:color w:val="000000"/>
            <w:sz w:val="24"/>
          </w:rPr>
          <w:t>281—19.20(</w:t>
        </w:r>
        <w:r>
          <w:rPr>
            <w:rFonts w:ascii="Times New Roman" w:hAnsi="Times New Roman"/>
            <w:b w:val="false"/>
            <w:i w:val="false"/>
            <w:strike/>
            <w:color w:val="000000"/>
            <w:sz w:val="24"/>
          </w:rPr>
          <w:t>256F</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256E</w:t>
        </w:r>
        <w:r>
          <w:rPr>
            <w:rFonts w:ascii="Times New Roman" w:hAnsi="Times New Roman"/>
            <w:b w:val="false"/>
            <w:i w:val="false"/>
            <w:color w:val="000000"/>
            <w:sz w:val="24"/>
          </w:rPr>
          <w:t>)</w:t>
        </w:r>
      </w:hyperlink>
      <w:r>
        <w:rPr>
          <w:rFonts w:ascii="Times New Roman" w:hAnsi="Times New Roman"/>
          <w:b w:val="false"/>
          <w:i w:val="false"/>
          <w:color w:val="000000"/>
          <w:sz w:val="24"/>
        </w:rPr>
        <w:t>, takes affirmative action to renew a charter school contract after the initial four-year contract for a charter school and at the end of each renewal period. The school board shall hold a public hearing on the issue of renewal and submit to the department a copy of the minutes of the public hearing showing that a majority of the school board members voted in favor of renewal of the charter. Any action to renew a charter specifies the number of years, which may only be four years or less, for which the charter was renewed by the school board.</w:t>
      </w:r>
    </w:p>
    <w:p>
      <w:pPr>
        <w:spacing w:before="0" w:after="0" w:line="480"/>
        <w:ind w:left="120"/>
        <w:jc w:val="both"/>
      </w:pPr>
      <w:r>
        <w:rPr>
          <w:rFonts w:ascii="Times New Roman" w:hAnsi="Times New Roman"/>
          <w:b w:val="false"/>
          <w:i w:val="false"/>
          <w:color w:val="000000"/>
          <w:sz w:val="24"/>
        </w:rPr>
        <w:t>A school board will submit a new application to the department if the board modifies any of the terms of the original charter.</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10.</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281—19.20(256F)</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281—19.20</w:t>
      </w:r>
      <w:r>
        <w:rPr>
          <w:rFonts w:ascii="Times New Roman" w:hAnsi="Times New Roman"/>
          <w:b/>
          <w:i w:val="false"/>
          <w:color w:val="000000"/>
          <w:sz w:val="24"/>
        </w:rPr>
        <w:t>(</w:t>
      </w:r>
      <w:r>
        <w:rPr>
          <w:rFonts w:ascii="Times New Roman" w:hAnsi="Times New Roman"/>
          <w:b/>
          <w:i w:val="false"/>
          <w:strike/>
          <w:color w:val="000000"/>
          <w:sz w:val="24"/>
        </w:rPr>
        <w:t>256F</w:t>
      </w:r>
      <w:r>
        <w:rPr>
          <w:rFonts w:ascii="Times New Roman" w:hAnsi="Times New Roman"/>
          <w:b/>
          <w:i w:val="false"/>
          <w:color w:val="000000"/>
          <w:sz w:val="24"/>
          <w:u w:val="single"/>
        </w:rPr>
        <w:t> </w:t>
      </w:r>
      <w:r>
        <w:rPr>
          <w:rFonts w:ascii="Times New Roman" w:hAnsi="Times New Roman"/>
          <w:b/>
          <w:i w:val="false"/>
          <w:color w:val="000000"/>
          <w:sz w:val="24"/>
          <w:u w:val="single"/>
        </w:rPr>
        <w:t>256E</w:t>
      </w:r>
      <w:r>
        <w:rPr>
          <w:rFonts w:ascii="Times New Roman" w:hAnsi="Times New Roman"/>
          <w:b/>
          <w:i w:val="false"/>
          <w:color w:val="000000"/>
          <w:sz w:val="24"/>
        </w:rPr>
        <w:t xml:space="preserve">) </w:t>
      </w:r>
      <w:r>
        <w:rPr>
          <w:rFonts w:ascii="Times New Roman" w:hAnsi="Times New Roman"/>
          <w:b/>
          <w:i w:val="false"/>
          <w:color w:val="000000"/>
          <w:sz w:val="24"/>
        </w:rPr>
        <w:t xml:space="preserve">Revocation or nonrenewal of charter. </w:t>
      </w:r>
      <w:r>
        <w:rPr>
          <w:rFonts w:ascii="Times New Roman" w:hAnsi="Times New Roman"/>
          <w:b w:val="false"/>
          <w:i w:val="false"/>
          <w:color w:val="000000"/>
          <w:sz w:val="24"/>
        </w:rPr>
        <w:t xml:space="preserve">Iowa Code sections </w:t>
      </w:r>
      <w:hyperlink r:id="rId29">
        <w:r>
          <w:rPr>
            <w:rStyle w:val="Hyperlink"/>
            <w:rFonts w:ascii="Times New Roman" w:hAnsi="Times New Roman"/>
            <w:b w:val="false"/>
            <w:i w:val="false"/>
            <w:strike/>
            <w:color w:val="000000"/>
            <w:sz w:val="24"/>
          </w:rPr>
          <w:t>256F.8</w:t>
        </w:r>
      </w:hyperlink>
      <w:r>
        <w:rPr>
          <w:rFonts w:ascii="Times New Roman" w:hAnsi="Times New Roman"/>
          <w:b w:val="false"/>
          <w:i w:val="false"/>
          <w:strike/>
          <w:color w:val="000000"/>
          <w:sz w:val="24"/>
        </w:rPr>
        <w:t xml:space="preserve"> and </w:t>
      </w:r>
      <w:hyperlink r:id="rId30">
        <w:r>
          <w:rPr>
            <w:rStyle w:val="Hyperlink"/>
            <w:rFonts w:ascii="Times New Roman" w:hAnsi="Times New Roman"/>
            <w:b w:val="false"/>
            <w:i w:val="false"/>
            <w:strike/>
            <w:color w:val="000000"/>
            <w:sz w:val="24"/>
          </w:rPr>
          <w:t>256F.9</w:t>
        </w:r>
      </w:hyperlink>
      <w:r>
        <w:rPr>
          <w:rFonts w:ascii="Times New Roman" w:hAnsi="Times New Roman"/>
          <w:b w:val="false"/>
          <w:i w:val="false"/>
          <w:color w:val="000000"/>
          <w:sz w:val="24"/>
          <w:u w:val="single"/>
        </w:rPr>
        <w:t> </w:t>
      </w:r>
      <w:hyperlink r:id="rId31">
        <w:r>
          <w:rPr>
            <w:rStyle w:val="Hyperlink"/>
            <w:rFonts w:ascii="Times New Roman" w:hAnsi="Times New Roman"/>
            <w:b w:val="false"/>
            <w:i w:val="false"/>
            <w:color w:val="000000"/>
            <w:sz w:val="24"/>
            <w:u w:val="single"/>
          </w:rPr>
          <w:t>256E.27</w:t>
        </w:r>
      </w:hyperlink>
      <w:r>
        <w:rPr>
          <w:rFonts w:ascii="Times New Roman" w:hAnsi="Times New Roman"/>
          <w:b w:val="false"/>
          <w:i w:val="false"/>
          <w:color w:val="000000"/>
          <w:sz w:val="24"/>
          <w:u w:val="single"/>
        </w:rPr>
        <w:t xml:space="preserve"> and </w:t>
      </w:r>
      <w:hyperlink r:id="rId32">
        <w:r>
          <w:rPr>
            <w:rStyle w:val="Hyperlink"/>
            <w:rFonts w:ascii="Times New Roman" w:hAnsi="Times New Roman"/>
            <w:b w:val="false"/>
            <w:i w:val="false"/>
            <w:color w:val="000000"/>
            <w:sz w:val="24"/>
            <w:u w:val="single"/>
          </w:rPr>
          <w:t>256E.28</w:t>
        </w:r>
      </w:hyperlink>
      <w:r>
        <w:rPr>
          <w:rFonts w:ascii="Times New Roman" w:hAnsi="Times New Roman"/>
          <w:b w:val="false"/>
          <w:i w:val="false"/>
          <w:color w:val="000000"/>
          <w:sz w:val="24"/>
        </w:rPr>
        <w:t xml:space="preserve"> govern revocation or nonrenewal of a charter under this division.</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281—19.21(256F)</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281—19.21</w:t>
      </w:r>
      <w:r>
        <w:rPr>
          <w:rFonts w:ascii="Times New Roman" w:hAnsi="Times New Roman"/>
          <w:b/>
          <w:i w:val="false"/>
          <w:color w:val="000000"/>
          <w:sz w:val="24"/>
        </w:rPr>
        <w:t>(</w:t>
      </w:r>
      <w:r>
        <w:rPr>
          <w:rFonts w:ascii="Times New Roman" w:hAnsi="Times New Roman"/>
          <w:b/>
          <w:i w:val="false"/>
          <w:strike/>
          <w:color w:val="000000"/>
          <w:sz w:val="24"/>
        </w:rPr>
        <w:t>256F</w:t>
      </w:r>
      <w:r>
        <w:rPr>
          <w:rFonts w:ascii="Times New Roman" w:hAnsi="Times New Roman"/>
          <w:b/>
          <w:i w:val="false"/>
          <w:color w:val="000000"/>
          <w:sz w:val="24"/>
          <w:u w:val="single"/>
        </w:rPr>
        <w:t> </w:t>
      </w:r>
      <w:r>
        <w:rPr>
          <w:rFonts w:ascii="Times New Roman" w:hAnsi="Times New Roman"/>
          <w:b/>
          <w:i w:val="false"/>
          <w:color w:val="000000"/>
          <w:sz w:val="24"/>
          <w:u w:val="single"/>
        </w:rPr>
        <w:t>256E</w:t>
      </w:r>
      <w:r>
        <w:rPr>
          <w:rFonts w:ascii="Times New Roman" w:hAnsi="Times New Roman"/>
          <w:b/>
          <w:i w:val="false"/>
          <w:color w:val="000000"/>
          <w:sz w:val="24"/>
        </w:rPr>
        <w:t xml:space="preserve">) </w:t>
      </w:r>
      <w:r>
        <w:rPr>
          <w:rFonts w:ascii="Times New Roman" w:hAnsi="Times New Roman"/>
          <w:b/>
          <w:i w:val="false"/>
          <w:color w:val="000000"/>
          <w:sz w:val="24"/>
        </w:rPr>
        <w:t xml:space="preserve">Transition—operation of existing charter schools. </w:t>
      </w:r>
      <w:r>
        <w:rPr>
          <w:rFonts w:ascii="Times New Roman" w:hAnsi="Times New Roman"/>
          <w:b w:val="false"/>
          <w:i w:val="false"/>
          <w:color w:val="000000"/>
          <w:sz w:val="24"/>
        </w:rPr>
        <w:t xml:space="preserve">Charter schools established pursuant to this division and Iowa Code chapter </w:t>
      </w:r>
      <w:hyperlink r:id="rId33">
        <w:r>
          <w:rPr>
            <w:rStyle w:val="Hyperlink"/>
            <w:rFonts w:ascii="Times New Roman" w:hAnsi="Times New Roman"/>
            <w:b w:val="false"/>
            <w:i w:val="false"/>
            <w:strike/>
            <w:color w:val="000000"/>
            <w:sz w:val="24"/>
          </w:rPr>
          <w:t>256F</w:t>
        </w:r>
      </w:hyperlink>
      <w:r>
        <w:rPr>
          <w:rFonts w:ascii="Times New Roman" w:hAnsi="Times New Roman"/>
          <w:b w:val="false"/>
          <w:i w:val="false"/>
          <w:color w:val="000000"/>
          <w:sz w:val="24"/>
          <w:u w:val="single"/>
        </w:rPr>
        <w:t> </w:t>
      </w:r>
      <w:hyperlink r:id="rId34">
        <w:r>
          <w:rPr>
            <w:rStyle w:val="Hyperlink"/>
            <w:rFonts w:ascii="Times New Roman" w:hAnsi="Times New Roman"/>
            <w:b w:val="false"/>
            <w:i w:val="false"/>
            <w:color w:val="000000"/>
            <w:sz w:val="24"/>
            <w:u w:val="single"/>
          </w:rPr>
          <w:t>256E</w:t>
        </w:r>
      </w:hyperlink>
      <w:r>
        <w:rPr>
          <w:rFonts w:ascii="Times New Roman" w:hAnsi="Times New Roman"/>
          <w:b w:val="false"/>
          <w:i w:val="false"/>
          <w:color w:val="000000"/>
          <w:sz w:val="24"/>
          <w:u w:val="single"/>
        </w:rPr>
        <w:t>, subchapter II,</w:t>
      </w:r>
      <w:r>
        <w:rPr>
          <w:rFonts w:ascii="Times New Roman" w:hAnsi="Times New Roman"/>
          <w:b w:val="false"/>
          <w:i w:val="false"/>
          <w:color w:val="000000"/>
          <w:sz w:val="24"/>
        </w:rPr>
        <w:t xml:space="preserve"> prior to July 1, 2021, may continue to operate pursuant to those terms and are not subject to Iowa Code chapter </w:t>
      </w:r>
      <w:hyperlink r:id="rId35">
        <w:r>
          <w:rPr>
            <w:rStyle w:val="Hyperlink"/>
            <w:rFonts w:ascii="Times New Roman" w:hAnsi="Times New Roman"/>
            <w:b w:val="false"/>
            <w:i w:val="false"/>
            <w:color w:val="000000"/>
            <w:sz w:val="24"/>
          </w:rPr>
          <w:t>256E</w:t>
        </w:r>
      </w:hyperlink>
      <w:r>
        <w:rPr>
          <w:rFonts w:ascii="Times New Roman" w:hAnsi="Times New Roman"/>
          <w:b w:val="false"/>
          <w:i w:val="false"/>
          <w:color w:val="000000"/>
          <w:sz w:val="24"/>
          <w:u w:val="single"/>
        </w:rPr>
        <w:t>, subchapter I,</w:t>
      </w:r>
      <w:r>
        <w:rPr>
          <w:rFonts w:ascii="Times New Roman" w:hAnsi="Times New Roman"/>
          <w:b w:val="false"/>
          <w:i w:val="false"/>
          <w:color w:val="000000"/>
          <w:sz w:val="24"/>
        </w:rPr>
        <w:t xml:space="preserve"> or Division I of this chapter. No new charter </w:t>
      </w:r>
      <w:r>
        <w:rPr>
          <w:rFonts w:ascii="Times New Roman" w:hAnsi="Times New Roman"/>
          <w:b w:val="false"/>
          <w:i w:val="false"/>
          <w:strike/>
          <w:color w:val="000000"/>
          <w:sz w:val="24"/>
        </w:rPr>
        <w:t>or innovation zone</w:t>
      </w:r>
      <w:r>
        <w:rPr>
          <w:rFonts w:ascii="Times New Roman" w:hAnsi="Times New Roman"/>
          <w:b w:val="false"/>
          <w:i w:val="false"/>
          <w:color w:val="000000"/>
          <w:sz w:val="24"/>
        </w:rPr>
        <w:t xml:space="preserve"> school may be created under this division.</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w:t>
      </w:r>
      <w:r>
        <w:rPr>
          <w:rFonts w:ascii="Times New Roman" w:hAnsi="Times New Roman"/>
          <w:b/>
          <w:i w:val="false"/>
          <w:color w:val="000000"/>
          <w:sz w:val="24"/>
        </w:rPr>
        <w:t>281—Chapter 19</w:t>
      </w:r>
      <w:r>
        <w:rPr>
          <w:rFonts w:ascii="Times New Roman" w:hAnsi="Times New Roman"/>
          <w:b w:val="false"/>
          <w:i w:val="false"/>
          <w:color w:val="000000"/>
          <w:sz w:val="24"/>
        </w:rPr>
        <w:t>, implementation sentence</w:t>
      </w:r>
      <w:r>
        <w:rPr>
          <w:rFonts w:ascii="Times New Roman" w:hAnsi="Times New Roman"/>
          <w:b w:val="false"/>
          <w:i w:val="false"/>
          <w:color w:val="000000"/>
          <w:sz w:val="24"/>
        </w:rPr>
        <w:t>, as follows:</w:t>
      </w:r>
    </w:p>
    <w:p>
      <w:pPr>
        <w:spacing w:before="0" w:after="0" w:line="480"/>
        <w:ind w:left="120"/>
        <w:jc w:val="left"/>
      </w:pPr>
      <w:r>
        <w:rPr>
          <w:rFonts w:ascii="Times New Roman" w:hAnsi="Times New Roman"/>
          <w:b w:val="false"/>
          <w:i w:val="false"/>
          <w:color w:val="000000"/>
          <w:sz w:val="24"/>
        </w:rPr>
        <w:t xml:space="preserve">These rules are intended to implement Iowa Code chapter </w:t>
      </w:r>
      <w:hyperlink r:id="rId36">
        <w:r>
          <w:rPr>
            <w:rStyle w:val="Hyperlink"/>
            <w:rFonts w:ascii="Times New Roman" w:hAnsi="Times New Roman"/>
            <w:b w:val="false"/>
            <w:i w:val="false"/>
            <w:strike/>
            <w:color w:val="000000"/>
            <w:sz w:val="24"/>
          </w:rPr>
          <w:t>256F</w:t>
        </w:r>
      </w:hyperlink>
      <w:r>
        <w:rPr>
          <w:rFonts w:ascii="Times New Roman" w:hAnsi="Times New Roman"/>
          <w:b w:val="false"/>
          <w:i w:val="false"/>
          <w:color w:val="000000"/>
          <w:sz w:val="24"/>
          <w:u w:val="single"/>
        </w:rPr>
        <w:t> </w:t>
      </w:r>
      <w:hyperlink r:id="rId37">
        <w:r>
          <w:rPr>
            <w:rStyle w:val="Hyperlink"/>
            <w:rFonts w:ascii="Times New Roman" w:hAnsi="Times New Roman"/>
            <w:b w:val="false"/>
            <w:i w:val="false"/>
            <w:color w:val="000000"/>
            <w:sz w:val="24"/>
            <w:u w:val="single"/>
          </w:rPr>
          <w:t>256E</w:t>
        </w:r>
      </w:hyperlink>
      <w:r>
        <w:rPr>
          <w:rFonts w:ascii="Times New Roman" w:hAnsi="Times New Roman"/>
          <w:b w:val="false"/>
          <w:i w:val="false"/>
          <w:color w:val="000000"/>
          <w:sz w:val="24"/>
          <w:u w:val="single"/>
        </w:rPr>
        <w:t>, subchapter II</w:t>
      </w:r>
      <w:r>
        <w:rPr>
          <w:rFonts w:ascii="Times New Roman" w:hAnsi="Times New Roman"/>
          <w:b w:val="false"/>
          <w:i w:val="false"/>
          <w:color w:val="000000"/>
          <w:sz w:val="24"/>
        </w:rPr>
        <w:t>.</w:t>
      </w:r>
    </w:p>
    <w:sectPr>
      <w:footerReference r:id="rId3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meet.google.com/uzu-nfiq-jca" Type="http://schemas.openxmlformats.org/officeDocument/2006/relationships/hyperlink" Id="rId4"/>
    <Relationship TargetMode="External" Target="mailto:thomas.a.mayes@iowa.gov" Type="http://schemas.openxmlformats.org/officeDocument/2006/relationships/hyperlink" Id="rId5"/>
    <Relationship TargetMode="External" Target="https://www.legis.iowa.gov/docs/ico/chapter/256E.pdf" Type="http://schemas.openxmlformats.org/officeDocument/2006/relationships/hyperlink" Id="rId6"/>
    <Relationship TargetMode="External" Target="https://www.legis.iowa.gov/docs/ico/chapter/256F.pdf" Type="http://schemas.openxmlformats.org/officeDocument/2006/relationships/hyperlink" Id="rId7"/>
    <Relationship TargetMode="External" Target="https://www.legis.iowa.gov/docs/ico/chapter/256E.pdf" Type="http://schemas.openxmlformats.org/officeDocument/2006/relationships/hyperlink" Id="rId8"/>
    <Relationship TargetMode="External" Target="https://www.legis.iowa.gov/docs/ico/chapter/256E.4.pdf" Type="http://schemas.openxmlformats.org/officeDocument/2006/relationships/hyperlink" Id="rId9"/>
    <Relationship TargetMode="External" Target="https://www.legis.iowa.gov/docs/ico/chapter/256E.5.pdf" Type="http://schemas.openxmlformats.org/officeDocument/2006/relationships/hyperlink" Id="rId10"/>
    <Relationship TargetMode="External" Target="https://www.legis.iowa.gov/docs/iac/rule/281.12.8.pdf" Type="http://schemas.openxmlformats.org/officeDocument/2006/relationships/hyperlink" Id="rId11"/>
    <Relationship TargetMode="External" Target="https://www.legis.iowa.gov/docs/ico/chapter/256F.pdf" Type="http://schemas.openxmlformats.org/officeDocument/2006/relationships/hyperlink" Id="rId12"/>
    <Relationship TargetMode="External" Target="https://www.legis.iowa.gov/docs/ico/chapter/256E.pdf" Type="http://schemas.openxmlformats.org/officeDocument/2006/relationships/hyperlink" Id="rId13"/>
    <Relationship TargetMode="External" Target="https://www.legis.iowa.gov/docs/ico/chapter/256E.pdf" Type="http://schemas.openxmlformats.org/officeDocument/2006/relationships/hyperlink" Id="rId14"/>
    <Relationship TargetMode="External" Target="https://www.legis.iowa.gov/docs/ico/chapter/256F.2.pdf" Type="http://schemas.openxmlformats.org/officeDocument/2006/relationships/hyperlink" Id="rId15"/>
    <Relationship TargetMode="External" Target="https://www.legis.iowa.gov/docs/ico/chapter/256E.21.pdf" Type="http://schemas.openxmlformats.org/officeDocument/2006/relationships/hyperlink" Id="rId16"/>
    <Relationship TargetMode="External" Target="https://www.legis.iowa.gov/docs/ico/chapter/21.pdf" Type="http://schemas.openxmlformats.org/officeDocument/2006/relationships/hyperlink" Id="rId17"/>
    <Relationship TargetMode="External" Target="https://www.legis.iowa.gov/docs/ico/chapter/22.pdf" Type="http://schemas.openxmlformats.org/officeDocument/2006/relationships/hyperlink" Id="rId18"/>
    <Relationship TargetMode="External" Target="https://www.legis.iowa.gov/docs/ico/chapter/256F.4.pdf" Type="http://schemas.openxmlformats.org/officeDocument/2006/relationships/hyperlink" Id="rId19"/>
    <Relationship TargetMode="External" Target="https://www.legis.iowa.gov/docs/ico/chapter/256F.6.pdf" Type="http://schemas.openxmlformats.org/officeDocument/2006/relationships/hyperlink" Id="rId20"/>
    <Relationship TargetMode="External" Target="https://www.legis.iowa.gov/docs/ico/chapter/256F.7.pdf" Type="http://schemas.openxmlformats.org/officeDocument/2006/relationships/hyperlink" Id="rId21"/>
    <Relationship TargetMode="External" Target="https://www.legis.iowa.gov/docs/ico/chapter/256E.23.pdf" Type="http://schemas.openxmlformats.org/officeDocument/2006/relationships/hyperlink" Id="rId22"/>
    <Relationship TargetMode="External" Target="https://www.legis.iowa.gov/docs/ico/chapter/256E.23.pdf" Type="http://schemas.openxmlformats.org/officeDocument/2006/relationships/hyperlink" Id="rId23"/>
    <Relationship TargetMode="External" Target="https://www.legis.iowa.gov/docs/ico/chapter/256E.25.pdf" Type="http://schemas.openxmlformats.org/officeDocument/2006/relationships/hyperlink" Id="rId24"/>
    <Relationship TargetMode="External" Target="https://www.legis.iowa.gov/docs/ico/chapter/256E.26.pdf" Type="http://schemas.openxmlformats.org/officeDocument/2006/relationships/hyperlink" Id="rId25"/>
    <Relationship TargetMode="External" Target="https://www.legis.iowa.gov/docs/ico/chapter/256F.10.pdf" Type="http://schemas.openxmlformats.org/officeDocument/2006/relationships/hyperlink" Id="rId26"/>
    <Relationship TargetMode="External" Target="https://www.legis.iowa.gov/docs/ico/chapter/256E.29.pdf" Type="http://schemas.openxmlformats.org/officeDocument/2006/relationships/hyperlink" Id="rId27"/>
    <Relationship TargetMode="External" Target="https://www.legis.iowa.gov/docs/iac/rule/281.19.20.pdf" Type="http://schemas.openxmlformats.org/officeDocument/2006/relationships/hyperlink" Id="rId28"/>
    <Relationship TargetMode="External" Target="https://www.legis.iowa.gov/docs/ico/chapter/256F.8.pdf" Type="http://schemas.openxmlformats.org/officeDocument/2006/relationships/hyperlink" Id="rId29"/>
    <Relationship TargetMode="External" Target="https://www.legis.iowa.gov/docs/ico/chapter/256F.9.pdf" Type="http://schemas.openxmlformats.org/officeDocument/2006/relationships/hyperlink" Id="rId30"/>
    <Relationship TargetMode="External" Target="https://www.legis.iowa.gov/docs/ico/chapter/256E.27.pdf" Type="http://schemas.openxmlformats.org/officeDocument/2006/relationships/hyperlink" Id="rId31"/>
    <Relationship TargetMode="External" Target="https://www.legis.iowa.gov/docs/ico/chapter/256E.28.pdf" Type="http://schemas.openxmlformats.org/officeDocument/2006/relationships/hyperlink" Id="rId32"/>
    <Relationship TargetMode="External" Target="https://www.legis.iowa.gov/docs/ico/chapter/256F.pdf" Type="http://schemas.openxmlformats.org/officeDocument/2006/relationships/hyperlink" Id="rId33"/>
    <Relationship TargetMode="External" Target="https://www.legis.iowa.gov/docs/ico/chapter/256E.pdf" Type="http://schemas.openxmlformats.org/officeDocument/2006/relationships/hyperlink" Id="rId34"/>
    <Relationship TargetMode="External" Target="https://www.legis.iowa.gov/docs/ico/chapter/256E.pdf" Type="http://schemas.openxmlformats.org/officeDocument/2006/relationships/hyperlink" Id="rId35"/>
    <Relationship TargetMode="External" Target="https://www.legis.iowa.gov/docs/ico/chapter/256F.pdf" Type="http://schemas.openxmlformats.org/officeDocument/2006/relationships/hyperlink" Id="rId36"/>
    <Relationship TargetMode="External" Target="https://www.legis.iowa.gov/docs/ico/chapter/256E.pdf" Type="http://schemas.openxmlformats.org/officeDocument/2006/relationships/hyperlink" Id="rId37"/>
    <Relationship Target="footer.xml" Type="http://schemas.openxmlformats.org/officeDocument/2006/relationships/footer" Id="rId3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